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59" w:lineRule="auto"/>
        <w:jc w:val="right"/>
        <w:rPr>
          <w:rFonts w:ascii="Century Gothic" w:cs="Century Gothic" w:eastAsia="Century Gothic" w:hAnsi="Century Gothic"/>
          <w:b w:val="1"/>
          <w:color w:val="000000"/>
          <w:sz w:val="28"/>
          <w:szCs w:val="28"/>
        </w:rPr>
      </w:pPr>
      <w:r w:rsidDel="00000000" w:rsidR="00000000" w:rsidRPr="00000000">
        <w:rPr>
          <w:rFonts w:ascii="Century Gothic" w:cs="Century Gothic" w:eastAsia="Century Gothic" w:hAnsi="Century Gothic"/>
          <w:b w:val="1"/>
          <w:color w:val="000000"/>
          <w:sz w:val="28"/>
          <w:szCs w:val="28"/>
          <w:rtl w:val="0"/>
        </w:rPr>
        <w:t xml:space="preserve">Comunicado de Prensa</w:t>
      </w:r>
      <w:r w:rsidDel="00000000" w:rsidR="00000000" w:rsidRPr="00000000">
        <w:drawing>
          <wp:anchor allowOverlap="1" behindDoc="1" distB="0" distT="0" distL="0" distR="0" hidden="0" layoutInCell="1" locked="0" relativeHeight="0" simplePos="0">
            <wp:simplePos x="0" y="0"/>
            <wp:positionH relativeFrom="column">
              <wp:posOffset>-19682</wp:posOffset>
            </wp:positionH>
            <wp:positionV relativeFrom="paragraph">
              <wp:posOffset>-346072</wp:posOffset>
            </wp:positionV>
            <wp:extent cx="1421765" cy="878205"/>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59" w:lineRule="auto"/>
        <w:jc w:val="right"/>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color w:val="000000"/>
          <w:sz w:val="22"/>
          <w:szCs w:val="22"/>
          <w:rtl w:val="0"/>
        </w:rPr>
        <w:t xml:space="preserve">15 de marzo 2023</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59" w:lineRule="auto"/>
        <w:jc w:val="both"/>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04">
      <w:pPr>
        <w:jc w:val="both"/>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44"/>
          <w:szCs w:val="44"/>
          <w:rtl w:val="0"/>
        </w:rPr>
        <w:t xml:space="preserve">Para el 95% de los empleados mexicanos los vales de despensa deberían ser una prestación generalizada</w:t>
      </w: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200" w:line="259" w:lineRule="auto"/>
        <w:ind w:left="284" w:hanging="284"/>
        <w:jc w:val="both"/>
        <w:rPr>
          <w:rFonts w:ascii="Century Gothic" w:cs="Century Gothic" w:eastAsia="Century Gothic" w:hAnsi="Century Gothic"/>
          <w:i w:val="1"/>
          <w:color w:val="000000"/>
          <w:sz w:val="24"/>
          <w:szCs w:val="24"/>
        </w:rPr>
      </w:pPr>
      <w:r w:rsidDel="00000000" w:rsidR="00000000" w:rsidRPr="00000000">
        <w:rPr>
          <w:rFonts w:ascii="Century Gothic" w:cs="Century Gothic" w:eastAsia="Century Gothic" w:hAnsi="Century Gothic"/>
          <w:i w:val="1"/>
          <w:color w:val="000000"/>
          <w:sz w:val="24"/>
          <w:szCs w:val="24"/>
          <w:rtl w:val="0"/>
        </w:rPr>
        <w:t xml:space="preserve">De acuerdo con la Encuesta a Empleados del Sector Formal sobre Vales de Despensa, los vales mejoran la calidad de vida de los empleados.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line="259" w:lineRule="auto"/>
        <w:ind w:left="284" w:hanging="284"/>
        <w:jc w:val="both"/>
        <w:rPr>
          <w:rFonts w:ascii="Century Gothic" w:cs="Century Gothic" w:eastAsia="Century Gothic" w:hAnsi="Century Gothic"/>
          <w:i w:val="1"/>
          <w:color w:val="000000"/>
          <w:sz w:val="24"/>
          <w:szCs w:val="24"/>
        </w:rPr>
      </w:pPr>
      <w:r w:rsidDel="00000000" w:rsidR="00000000" w:rsidRPr="00000000">
        <w:rPr>
          <w:rFonts w:ascii="Century Gothic" w:cs="Century Gothic" w:eastAsia="Century Gothic" w:hAnsi="Century Gothic"/>
          <w:i w:val="1"/>
          <w:color w:val="000000"/>
          <w:sz w:val="24"/>
          <w:szCs w:val="24"/>
          <w:rtl w:val="0"/>
        </w:rPr>
        <w:t xml:space="preserve">El 51% opinó que esta prestación impulsa su acceso a la canasta básica, y el 66% dijo estar muy satisfecho con la digitalización de los vales de despensa. </w:t>
      </w:r>
    </w:p>
    <w:p w:rsidR="00000000" w:rsidDel="00000000" w:rsidP="00000000" w:rsidRDefault="00000000" w:rsidRPr="00000000" w14:paraId="00000009">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Cada día más empleados mexicanos opinan que los vales de despensa deberían ser una prestación generalizada dentro del sector formal, en lugar de ser solo un apoyo opcional. Actualmente apenas el ocho por ciento de las pequeñas y medianas empresas (PyMES) del país, otorga esta ayuda a sus colaboradores, revelaron los datos de la Encuesta a Empleados del Sector Formal sobre Vales de Despensa*.</w:t>
      </w:r>
    </w:p>
    <w:p w:rsidR="00000000" w:rsidDel="00000000" w:rsidP="00000000" w:rsidRDefault="00000000" w:rsidRPr="00000000" w14:paraId="0000000B">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C">
      <w:pPr>
        <w:jc w:val="both"/>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¿En qué gastan los mexicanos sus vales de despensa? </w:t>
      </w:r>
    </w:p>
    <w:p w:rsidR="00000000" w:rsidDel="00000000" w:rsidP="00000000" w:rsidRDefault="00000000" w:rsidRPr="00000000" w14:paraId="0000000D">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De acuerdo con los resultados, el 95% de los trabajadores gastan este apoyo en la compra de alimentos, principalmente en supermercados y tiendas de conveniencia.  </w:t>
      </w:r>
    </w:p>
    <w:p w:rsidR="00000000" w:rsidDel="00000000" w:rsidP="00000000" w:rsidRDefault="00000000" w:rsidRPr="00000000" w14:paraId="0000000F">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b w:val="1"/>
          <w:i w:val="1"/>
          <w:color w:val="000000"/>
        </w:rPr>
      </w:pPr>
      <w:r w:rsidDel="00000000" w:rsidR="00000000" w:rsidRPr="00000000">
        <w:rPr>
          <w:rFonts w:ascii="Century Gothic" w:cs="Century Gothic" w:eastAsia="Century Gothic" w:hAnsi="Century Gothic"/>
          <w:b w:val="1"/>
          <w:color w:val="000000"/>
          <w:rtl w:val="0"/>
        </w:rPr>
        <w:t xml:space="preserve">Mauro Borochovicius, director regional de Benefits para Edenred en Hispanoamérica comentó: </w:t>
      </w:r>
      <w:r w:rsidDel="00000000" w:rsidR="00000000" w:rsidRPr="00000000">
        <w:rPr>
          <w:rFonts w:ascii="Century Gothic" w:cs="Century Gothic" w:eastAsia="Century Gothic" w:hAnsi="Century Gothic"/>
          <w:i w:val="1"/>
          <w:color w:val="000000"/>
          <w:rtl w:val="0"/>
        </w:rPr>
        <w:t xml:space="preserve">“Esta encuesta muestra que los vales de despensa tienen diversas ventajas para los colaboradores que los reciben, ya que cuentan con un apoyo adicional al momento de realizar sus compras. Los números muestran que 51% de los entrevistados opina que esta prestación mejora su calidad de vida y permite adquirir más y mejores alimentos para su familia, mientras que el 48% lamentó que al no recibir estos beneficios su principal afectación sería la reducción en su poder adquisitivo para la compra de alimentos”. </w:t>
      </w: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Este sondeo se llevó a cabo del 8 de agosto al 17 de noviembre del 2022 donde se realizaron mil 200 entrevistas telefónicas a una población objetivo de colaboradores del sector formal que reciben un salario fijo y cuentan con algunas prestaciones laborales. El 75% de las personas labora en empresas con contrato permanente, el 23% tiene un convenio temporal y el uno por ciento no tiene convenio, la mayoría de los encuestados indicó que provienen del sector privado (72%), público (26%) y el dos por ciento prefirió no contestar. </w:t>
      </w:r>
    </w:p>
    <w:p w:rsidR="00000000" w:rsidDel="00000000" w:rsidP="00000000" w:rsidRDefault="00000000" w:rsidRPr="00000000" w14:paraId="00000013">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Del total, el 36% señaló que en sus empleos sí reciben vales de despensa, un 52% indicó que está muy satisfecho con este sistema de beneficios, donde percibe aproximadamente $1,447 pesos mensuales. Principalmente, el 83% gasta sus vales en supermercados, seguido de un 8% en tiendas de conveniencia, 7% en tiendas de abarrotes o negocios minoristas y el resto en otros comercios. </w:t>
      </w:r>
    </w:p>
    <w:p w:rsidR="00000000" w:rsidDel="00000000" w:rsidP="00000000" w:rsidRDefault="00000000" w:rsidRPr="00000000" w14:paraId="00000015">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6">
      <w:pPr>
        <w:jc w:val="both"/>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Vales que ayudan con las compras en momentos de inflación </w:t>
      </w:r>
    </w:p>
    <w:p w:rsidR="00000000" w:rsidDel="00000000" w:rsidP="00000000" w:rsidRDefault="00000000" w:rsidRPr="00000000" w14:paraId="00000017">
      <w:pPr>
        <w:jc w:val="both"/>
        <w:rPr>
          <w:rFonts w:ascii="Century Gothic" w:cs="Century Gothic" w:eastAsia="Century Gothic" w:hAnsi="Century Gothic"/>
          <w:b w:val="1"/>
          <w:color w:val="000000"/>
        </w:rPr>
      </w:pP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Borochovicius sostuvo que estos beneficios otorgan a los trabajadores mexicanos una ayuda muy eficaz para realizar sus compras de alimentos, tras cerrar el año pasado, con una inflación que fue catalogada como la más alta en dos décadas, llegando a 7.82%, según datos del </w:t>
      </w:r>
      <w:hyperlink r:id="rId8">
        <w:r w:rsidDel="00000000" w:rsidR="00000000" w:rsidRPr="00000000">
          <w:rPr>
            <w:rFonts w:ascii="Century Gothic" w:cs="Century Gothic" w:eastAsia="Century Gothic" w:hAnsi="Century Gothic"/>
            <w:color w:val="000000"/>
            <w:rtl w:val="0"/>
          </w:rPr>
          <w:t xml:space="preserve">INEGI.</w:t>
        </w:r>
      </w:hyperlink>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i w:val="1"/>
          <w:color w:val="000000"/>
          <w:rtl w:val="0"/>
        </w:rPr>
        <w:t xml:space="preserve">“Los empleados pueden mejorar sustancialmente el abastecimiento de su canasta básica con los beneficios que otorgan los vales de despensa”</w:t>
      </w:r>
      <w:r w:rsidDel="00000000" w:rsidR="00000000" w:rsidRPr="00000000">
        <w:rPr>
          <w:rFonts w:ascii="Century Gothic" w:cs="Century Gothic" w:eastAsia="Century Gothic" w:hAnsi="Century Gothic"/>
          <w:color w:val="000000"/>
          <w:rtl w:val="0"/>
        </w:rPr>
        <w:t xml:space="preserve">, agregó. </w:t>
      </w:r>
    </w:p>
    <w:p w:rsidR="00000000" w:rsidDel="00000000" w:rsidP="00000000" w:rsidRDefault="00000000" w:rsidRPr="00000000" w14:paraId="00000019">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A">
      <w:pPr>
        <w:jc w:val="both"/>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Una prestación para todos</w:t>
      </w:r>
    </w:p>
    <w:p w:rsidR="00000000" w:rsidDel="00000000" w:rsidP="00000000" w:rsidRDefault="00000000" w:rsidRPr="00000000" w14:paraId="0000001B">
      <w:pPr>
        <w:jc w:val="both"/>
        <w:rPr>
          <w:rFonts w:ascii="Century Gothic" w:cs="Century Gothic" w:eastAsia="Century Gothic" w:hAnsi="Century Gothic"/>
          <w:b w:val="1"/>
          <w:color w:val="000000"/>
        </w:rPr>
      </w:pPr>
      <w:r w:rsidDel="00000000" w:rsidR="00000000" w:rsidRPr="00000000">
        <w:rPr>
          <w:rtl w:val="0"/>
        </w:rPr>
      </w:r>
    </w:p>
    <w:p w:rsidR="00000000" w:rsidDel="00000000" w:rsidP="00000000" w:rsidRDefault="00000000" w:rsidRPr="00000000" w14:paraId="0000001C">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En este sentido, el 95% de los consultados sostuvo que los vales de despensa deberían ser una prestación laboral generalizada para todos los trabajadores. También estimaron que el monto mensual ideal para dicho beneficio debería alcanzar los $1,936 pesos mexicanos, es decir, un aumento de $489 pesos del monto promedio que la mayoría ya percibe en sus empresas. </w:t>
      </w:r>
    </w:p>
    <w:p w:rsidR="00000000" w:rsidDel="00000000" w:rsidP="00000000" w:rsidRDefault="00000000" w:rsidRPr="00000000" w14:paraId="0000001D">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E">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Otra de las ventajas que celebraron los encuestados fue que los vales de despensa mejoran el acceso la canasta básica (51%), incrementa el poder adquisitivo (17%), motiva el entorno laboral (9%), mejora la calidad de productos de consumo (6%), incrementa la nutrición en el hogar (6%), aumenta las posibilidades de comer de manera seguida en restaurantes (1%), entre otras (2%). </w:t>
      </w:r>
    </w:p>
    <w:p w:rsidR="00000000" w:rsidDel="00000000" w:rsidP="00000000" w:rsidRDefault="00000000" w:rsidRPr="00000000" w14:paraId="0000001F">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Muy alta satisfacción por la digitalización de los vales</w:t>
      </w:r>
    </w:p>
    <w:p w:rsidR="00000000" w:rsidDel="00000000" w:rsidP="00000000" w:rsidRDefault="00000000" w:rsidRPr="00000000" w14:paraId="00000021">
      <w:pPr>
        <w:jc w:val="both"/>
        <w:rPr>
          <w:rFonts w:ascii="Century Gothic" w:cs="Century Gothic" w:eastAsia="Century Gothic" w:hAnsi="Century Gothic"/>
          <w:b w:val="1"/>
          <w:color w:val="000000"/>
        </w:rPr>
      </w:pPr>
      <w:r w:rsidDel="00000000" w:rsidR="00000000" w:rsidRPr="00000000">
        <w:rPr>
          <w:rtl w:val="0"/>
        </w:rPr>
      </w:r>
    </w:p>
    <w:p w:rsidR="00000000" w:rsidDel="00000000" w:rsidP="00000000" w:rsidRDefault="00000000" w:rsidRPr="00000000" w14:paraId="00000022">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Además, el 66% dijo estar muy satisfecho con la digitalización de los vales de despensa, el 24% puntualizó que está algo satisfecho, el 38% celebró que los vales electrónicos son más prácticos que el vale de papel, 26% aseveró que son más seguros, 22% que contribuyen a la ecología al ahorrar papel y 12% indicó que se paga el importe exacto.</w:t>
      </w:r>
    </w:p>
    <w:p w:rsidR="00000000" w:rsidDel="00000000" w:rsidP="00000000" w:rsidRDefault="00000000" w:rsidRPr="00000000" w14:paraId="00000023">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4">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Finalmente, el ejecutivo de Edenred señaló que existe un 64% de los entrevistados, que describió que en sus empresas todavía no les brindan esta prestación. </w:t>
      </w:r>
      <w:r w:rsidDel="00000000" w:rsidR="00000000" w:rsidRPr="00000000">
        <w:rPr>
          <w:rFonts w:ascii="Century Gothic" w:cs="Century Gothic" w:eastAsia="Century Gothic" w:hAnsi="Century Gothic"/>
          <w:i w:val="1"/>
          <w:color w:val="000000"/>
          <w:rtl w:val="0"/>
        </w:rPr>
        <w:t xml:space="preserve">“El 52% opinó que el principal beneficio sería una mejora en su canasta básica, el 13% aseguró que se sentiría más motivado en el trabajo, el 12% podría incrementar su poder adquisitivo, el siete por ciento mejoraría la calidad de los productos que consume. Los datos no mienten, los mexicanos piden este apoyo para su alimentación, mientras que el 86% de las empresas no proporcionan este tipo de ayuda para la alimentación”</w:t>
      </w:r>
      <w:r w:rsidDel="00000000" w:rsidR="00000000" w:rsidRPr="00000000">
        <w:rPr>
          <w:rFonts w:ascii="Century Gothic" w:cs="Century Gothic" w:eastAsia="Century Gothic" w:hAnsi="Century Gothic"/>
          <w:color w:val="000000"/>
          <w:rtl w:val="0"/>
        </w:rPr>
        <w:t xml:space="preserve">, agregó.</w:t>
      </w:r>
    </w:p>
    <w:p w:rsidR="00000000" w:rsidDel="00000000" w:rsidP="00000000" w:rsidRDefault="00000000" w:rsidRPr="00000000" w14:paraId="00000025">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Fonts w:ascii="Century Gothic" w:cs="Century Gothic" w:eastAsia="Century Gothic" w:hAnsi="Century Gothic"/>
          <w:b w:val="1"/>
          <w:i w:val="1"/>
          <w:color w:val="000000"/>
          <w:sz w:val="18"/>
          <w:szCs w:val="18"/>
          <w:rtl w:val="0"/>
        </w:rPr>
        <w:t xml:space="preserve">* Encuesta elaborada a partir de una solicitud de </w:t>
      </w:r>
      <w:hyperlink r:id="rId9">
        <w:r w:rsidDel="00000000" w:rsidR="00000000" w:rsidRPr="00000000">
          <w:rPr>
            <w:rFonts w:ascii="Century Gothic" w:cs="Century Gothic" w:eastAsia="Century Gothic" w:hAnsi="Century Gothic"/>
            <w:b w:val="1"/>
            <w:i w:val="1"/>
            <w:color w:val="000000"/>
            <w:sz w:val="18"/>
            <w:szCs w:val="18"/>
            <w:rtl w:val="0"/>
          </w:rPr>
          <w:t xml:space="preserve">Edenred</w:t>
        </w:r>
      </w:hyperlink>
      <w:r w:rsidDel="00000000" w:rsidR="00000000" w:rsidRPr="00000000">
        <w:rPr>
          <w:rFonts w:ascii="Century Gothic" w:cs="Century Gothic" w:eastAsia="Century Gothic" w:hAnsi="Century Gothic"/>
          <w:b w:val="1"/>
          <w:i w:val="1"/>
          <w:color w:val="000000"/>
          <w:sz w:val="18"/>
          <w:szCs w:val="18"/>
          <w:rtl w:val="0"/>
        </w:rPr>
        <w:t xml:space="preserve">, empresa líder en soluciones tecnológicas de pagos enfocada en mejorar el poder adquisitivo y la calidad de vida de sus usuarios.</w:t>
      </w: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8">
      <w:pPr>
        <w:jc w:val="both"/>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w:t>
      </w:r>
    </w:p>
    <w:p w:rsidR="00000000" w:rsidDel="00000000" w:rsidP="00000000" w:rsidRDefault="00000000" w:rsidRPr="00000000" w14:paraId="00000029">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A">
      <w:pPr>
        <w:jc w:val="both"/>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Acerca de Edenred</w:t>
      </w:r>
    </w:p>
    <w:p w:rsidR="00000000" w:rsidDel="00000000" w:rsidP="00000000" w:rsidRDefault="00000000" w:rsidRPr="00000000" w14:paraId="0000002B">
      <w:pPr>
        <w:jc w:val="both"/>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2C">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Edenred </w:t>
      </w:r>
      <w:r w:rsidDel="00000000" w:rsidR="00000000" w:rsidRPr="00000000">
        <w:rPr>
          <w:rFonts w:ascii="Century Gothic" w:cs="Century Gothic" w:eastAsia="Century Gothic" w:hAnsi="Century Gothic"/>
          <w:color w:val="000000"/>
          <w:sz w:val="18"/>
          <w:szCs w:val="18"/>
          <w:rtl w:val="0"/>
        </w:rPr>
        <w:t xml:space="preserve">es una plataforma digital líder para servicios y pagos y el compañero diario de las personas en el trabajo, que conecta a 52 millones de usuarios y 2 millones de comerciantes asociados en 45 países a través de 950,000 clientes corporativos.</w:t>
      </w:r>
    </w:p>
    <w:p w:rsidR="00000000" w:rsidDel="00000000" w:rsidP="00000000" w:rsidRDefault="00000000" w:rsidRPr="00000000" w14:paraId="0000002D">
      <w:pPr>
        <w:jc w:val="both"/>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2E">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Edenred ofrece soluciones de pago para usos específicos dedicados a la alimentación (como vales de despensa y restaurante), </w:t>
      </w:r>
      <w:r w:rsidDel="00000000" w:rsidR="00000000" w:rsidRPr="00000000">
        <w:rPr>
          <w:rFonts w:ascii="Century Gothic" w:cs="Century Gothic" w:eastAsia="Century Gothic" w:hAnsi="Century Gothic"/>
          <w:b w:val="1"/>
          <w:color w:val="000000"/>
          <w:sz w:val="18"/>
          <w:szCs w:val="18"/>
          <w:rtl w:val="0"/>
        </w:rPr>
        <w:t xml:space="preserve">incentivos </w:t>
      </w:r>
      <w:r w:rsidDel="00000000" w:rsidR="00000000" w:rsidRPr="00000000">
        <w:rPr>
          <w:rFonts w:ascii="Century Gothic" w:cs="Century Gothic" w:eastAsia="Century Gothic" w:hAnsi="Century Gothic"/>
          <w:color w:val="000000"/>
          <w:sz w:val="18"/>
          <w:szCs w:val="18"/>
          <w:rtl w:val="0"/>
        </w:rPr>
        <w:t xml:space="preserve">(como tarjetas de regalo, plataformas de retención de empleados), </w:t>
      </w:r>
      <w:r w:rsidDel="00000000" w:rsidR="00000000" w:rsidRPr="00000000">
        <w:rPr>
          <w:rFonts w:ascii="Century Gothic" w:cs="Century Gothic" w:eastAsia="Century Gothic" w:hAnsi="Century Gothic"/>
          <w:b w:val="1"/>
          <w:color w:val="000000"/>
          <w:sz w:val="18"/>
          <w:szCs w:val="18"/>
          <w:rtl w:val="0"/>
        </w:rPr>
        <w:t xml:space="preserve">movilidad </w:t>
      </w:r>
      <w:r w:rsidDel="00000000" w:rsidR="00000000" w:rsidRPr="00000000">
        <w:rPr>
          <w:rFonts w:ascii="Century Gothic" w:cs="Century Gothic" w:eastAsia="Century Gothic" w:hAnsi="Century Gothic"/>
          <w:color w:val="000000"/>
          <w:sz w:val="18"/>
          <w:szCs w:val="18"/>
          <w:rtl w:val="0"/>
        </w:rPr>
        <w:t xml:space="preserve">(como soluciones de energía múltiple, mantenimiento, peaje, estacionamiento y transporte) y </w:t>
      </w:r>
      <w:r w:rsidDel="00000000" w:rsidR="00000000" w:rsidRPr="00000000">
        <w:rPr>
          <w:rFonts w:ascii="Century Gothic" w:cs="Century Gothic" w:eastAsia="Century Gothic" w:hAnsi="Century Gothic"/>
          <w:b w:val="1"/>
          <w:color w:val="000000"/>
          <w:sz w:val="18"/>
          <w:szCs w:val="18"/>
          <w:rtl w:val="0"/>
        </w:rPr>
        <w:t xml:space="preserve">pagos corporativos</w:t>
      </w:r>
      <w:r w:rsidDel="00000000" w:rsidR="00000000" w:rsidRPr="00000000">
        <w:rPr>
          <w:rFonts w:ascii="Century Gothic" w:cs="Century Gothic" w:eastAsia="Century Gothic" w:hAnsi="Century Gothic"/>
          <w:color w:val="000000"/>
          <w:sz w:val="18"/>
          <w:szCs w:val="18"/>
          <w:rtl w:val="0"/>
        </w:rPr>
        <w:t xml:space="preserve"> (como como tarjetas virtuales).</w:t>
      </w:r>
    </w:p>
    <w:p w:rsidR="00000000" w:rsidDel="00000000" w:rsidP="00000000" w:rsidRDefault="00000000" w:rsidRPr="00000000" w14:paraId="0000002F">
      <w:pPr>
        <w:jc w:val="both"/>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30">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Fieles al propósito del Grupo (“Enrich Connections. For good.”), estas soluciones mejoran el bienestar y el poder adquisitivo de los usuarios. Mejoran el atractivo y la eficiencia de las empresas y dinamizan el mercado laboral y la economía local. También fomentan el acceso a alimentos más sanos, productos más respetuosos con el medio ambiente y una movilidad más sencilla.</w:t>
      </w:r>
    </w:p>
    <w:p w:rsidR="00000000" w:rsidDel="00000000" w:rsidP="00000000" w:rsidRDefault="00000000" w:rsidRPr="00000000" w14:paraId="00000031">
      <w:pPr>
        <w:jc w:val="both"/>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32">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Los </w:t>
      </w:r>
      <w:r w:rsidDel="00000000" w:rsidR="00000000" w:rsidRPr="00000000">
        <w:rPr>
          <w:rFonts w:ascii="Century Gothic" w:cs="Century Gothic" w:eastAsia="Century Gothic" w:hAnsi="Century Gothic"/>
          <w:color w:val="000000"/>
          <w:sz w:val="18"/>
          <w:szCs w:val="18"/>
          <w:rtl w:val="0"/>
        </w:rPr>
        <w:t xml:space="preserve">10,000</w:t>
      </w:r>
      <w:r w:rsidDel="00000000" w:rsidR="00000000" w:rsidRPr="00000000">
        <w:rPr>
          <w:rFonts w:ascii="Century Gothic" w:cs="Century Gothic" w:eastAsia="Century Gothic" w:hAnsi="Century Gothic"/>
          <w:color w:val="000000"/>
          <w:sz w:val="18"/>
          <w:szCs w:val="18"/>
          <w:rtl w:val="0"/>
        </w:rPr>
        <w:t xml:space="preserve"> empleados de Edenred están comprometidos a hacer del mundo laboral un ecosistema conectado que sea cada día más seguro, más eficiente y responsable.</w:t>
      </w:r>
    </w:p>
    <w:p w:rsidR="00000000" w:rsidDel="00000000" w:rsidP="00000000" w:rsidRDefault="00000000" w:rsidRPr="00000000" w14:paraId="00000033">
      <w:pPr>
        <w:jc w:val="both"/>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34">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En 2022, gracias a sus activos tecnológicos globales, el Grupo gestionó un volumen de negocio de unos 38,000 millones de euros, principalmente a través de aplicaciones móviles, plataformas online y tarjetas.</w:t>
      </w:r>
    </w:p>
    <w:p w:rsidR="00000000" w:rsidDel="00000000" w:rsidP="00000000" w:rsidRDefault="00000000" w:rsidRPr="00000000" w14:paraId="00000035">
      <w:pPr>
        <w:jc w:val="both"/>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36">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Edenred cotiza en la bolsa de valores Euronext Paris y está incluida en los siguientes índices: CAC 40 ESG, CAC Next 20, CAC Large 60, Euronext 100, FTSE4Good y MSCI Europe.</w:t>
      </w:r>
    </w:p>
    <w:p w:rsidR="00000000" w:rsidDel="00000000" w:rsidP="00000000" w:rsidRDefault="00000000" w:rsidRPr="00000000" w14:paraId="00000037">
      <w:pPr>
        <w:jc w:val="both"/>
        <w:rPr>
          <w:rFonts w:ascii="Century Gothic" w:cs="Century Gothic" w:eastAsia="Century Gothic" w:hAnsi="Century Gothic"/>
          <w:i w:val="1"/>
          <w:color w:val="000000"/>
          <w:sz w:val="16"/>
          <w:szCs w:val="16"/>
        </w:rPr>
      </w:pPr>
      <w:r w:rsidDel="00000000" w:rsidR="00000000" w:rsidRPr="00000000">
        <w:rPr>
          <w:rtl w:val="0"/>
        </w:rPr>
      </w:r>
    </w:p>
    <w:p w:rsidR="00000000" w:rsidDel="00000000" w:rsidP="00000000" w:rsidRDefault="00000000" w:rsidRPr="00000000" w14:paraId="00000038">
      <w:pPr>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i w:val="1"/>
          <w:color w:val="000000"/>
          <w:sz w:val="16"/>
          <w:szCs w:val="16"/>
          <w:rtl w:val="0"/>
        </w:rPr>
        <w:t xml:space="preserve">Los logotipos y otras marcas comerciales mencionadas y presentadas en este comunicado de prensa son marcas registradas de Edenred S.A., sus filiales o terceros. No pueden utilizarse con fines comerciales sin el consentimiento previo por escrito de sus propietarios</w:t>
      </w:r>
      <w:r w:rsidDel="00000000" w:rsidR="00000000" w:rsidRPr="00000000">
        <w:rPr>
          <w:rtl w:val="0"/>
        </w:rPr>
      </w:r>
    </w:p>
    <w:p w:rsidR="00000000" w:rsidDel="00000000" w:rsidP="00000000" w:rsidRDefault="00000000" w:rsidRPr="00000000" w14:paraId="00000039">
      <w:pPr>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w:t>
      </w:r>
    </w:p>
    <w:p w:rsidR="00000000" w:rsidDel="00000000" w:rsidP="00000000" w:rsidRDefault="00000000" w:rsidRPr="00000000" w14:paraId="0000003A">
      <w:pPr>
        <w:spacing w:line="259"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3B">
      <w:pPr>
        <w:spacing w:line="259"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CONTACTOS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59" w:lineRule="auto"/>
        <w:jc w:val="both"/>
        <w:rPr>
          <w:rFonts w:ascii="Century Gothic" w:cs="Century Gothic" w:eastAsia="Century Gothic" w:hAnsi="Century Gothic"/>
          <w:color w:val="000000"/>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3D">
            <w:pPr>
              <w:spacing w:line="259"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Director de Marketing</w:t>
            </w:r>
          </w:p>
          <w:p w:rsidR="00000000" w:rsidDel="00000000" w:rsidP="00000000" w:rsidRDefault="00000000" w:rsidRPr="00000000" w14:paraId="0000003E">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Aurelie Bagard</w:t>
            </w:r>
          </w:p>
          <w:p w:rsidR="00000000" w:rsidDel="00000000" w:rsidP="00000000" w:rsidRDefault="00000000" w:rsidRPr="00000000" w14:paraId="0000003F">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+52 (55) 3334 1589</w:t>
            </w:r>
          </w:p>
          <w:p w:rsidR="00000000" w:rsidDel="00000000" w:rsidP="00000000" w:rsidRDefault="00000000" w:rsidRPr="00000000" w14:paraId="00000040">
            <w:pPr>
              <w:spacing w:line="259" w:lineRule="auto"/>
              <w:rPr>
                <w:rFonts w:ascii="Century Gothic" w:cs="Century Gothic" w:eastAsia="Century Gothic" w:hAnsi="Century Gothic"/>
                <w:color w:val="000000"/>
                <w:sz w:val="18"/>
                <w:szCs w:val="18"/>
              </w:rPr>
            </w:pPr>
            <w:hyperlink r:id="rId10">
              <w:r w:rsidDel="00000000" w:rsidR="00000000" w:rsidRPr="00000000">
                <w:rPr>
                  <w:rFonts w:ascii="Century Gothic" w:cs="Century Gothic" w:eastAsia="Century Gothic" w:hAnsi="Century Gothic"/>
                  <w:color w:val="000000"/>
                  <w:sz w:val="18"/>
                  <w:szCs w:val="18"/>
                  <w:rtl w:val="0"/>
                </w:rPr>
                <w:t xml:space="preserve">aurelie.bagard@edenred.com</w:t>
              </w:r>
            </w:hyperlink>
            <w:r w:rsidDel="00000000" w:rsidR="00000000" w:rsidRPr="00000000">
              <w:rPr>
                <w:rFonts w:ascii="Century Gothic" w:cs="Century Gothic" w:eastAsia="Century Gothic" w:hAnsi="Century Gothic"/>
                <w:color w:val="000000"/>
                <w:sz w:val="18"/>
                <w:szCs w:val="18"/>
                <w:rtl w:val="0"/>
              </w:rPr>
              <w:t xml:space="preserve"> </w:t>
            </w:r>
          </w:p>
        </w:tc>
        <w:tc>
          <w:tcPr/>
          <w:p w:rsidR="00000000" w:rsidDel="00000000" w:rsidP="00000000" w:rsidRDefault="00000000" w:rsidRPr="00000000" w14:paraId="00000041">
            <w:pPr>
              <w:spacing w:line="259"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Marketing Communication &amp; PR Manager</w:t>
            </w:r>
          </w:p>
          <w:p w:rsidR="00000000" w:rsidDel="00000000" w:rsidP="00000000" w:rsidRDefault="00000000" w:rsidRPr="00000000" w14:paraId="00000042">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Victoria Balboa</w:t>
            </w:r>
          </w:p>
          <w:p w:rsidR="00000000" w:rsidDel="00000000" w:rsidP="00000000" w:rsidRDefault="00000000" w:rsidRPr="00000000" w14:paraId="00000043">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+52 (55) 3555 8287</w:t>
            </w:r>
          </w:p>
          <w:p w:rsidR="00000000" w:rsidDel="00000000" w:rsidP="00000000" w:rsidRDefault="00000000" w:rsidRPr="00000000" w14:paraId="00000044">
            <w:pPr>
              <w:spacing w:line="259" w:lineRule="auto"/>
              <w:rPr>
                <w:rFonts w:ascii="Century Gothic" w:cs="Century Gothic" w:eastAsia="Century Gothic" w:hAnsi="Century Gothic"/>
                <w:color w:val="000000"/>
                <w:sz w:val="18"/>
                <w:szCs w:val="18"/>
              </w:rPr>
            </w:pPr>
            <w:hyperlink r:id="rId11">
              <w:r w:rsidDel="00000000" w:rsidR="00000000" w:rsidRPr="00000000">
                <w:rPr>
                  <w:rFonts w:ascii="Century Gothic" w:cs="Century Gothic" w:eastAsia="Century Gothic" w:hAnsi="Century Gothic"/>
                  <w:color w:val="000000"/>
                  <w:sz w:val="18"/>
                  <w:szCs w:val="18"/>
                  <w:u w:val="single"/>
                  <w:rtl w:val="0"/>
                </w:rPr>
                <w:t xml:space="preserve">victoria.balboa@edenred.com</w:t>
              </w:r>
            </w:hyperlink>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45">
            <w:pPr>
              <w:spacing w:line="259" w:lineRule="auto"/>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46">
            <w:pPr>
              <w:spacing w:line="259"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Relaciones con prensa: Another Company </w:t>
            </w:r>
          </w:p>
          <w:p w:rsidR="00000000" w:rsidDel="00000000" w:rsidP="00000000" w:rsidRDefault="00000000" w:rsidRPr="00000000" w14:paraId="00000047">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Elsa Villalba de la Vega</w:t>
            </w:r>
          </w:p>
          <w:p w:rsidR="00000000" w:rsidDel="00000000" w:rsidP="00000000" w:rsidRDefault="00000000" w:rsidRPr="00000000" w14:paraId="00000048">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+52 (55) 2342 0061</w:t>
            </w:r>
          </w:p>
          <w:p w:rsidR="00000000" w:rsidDel="00000000" w:rsidP="00000000" w:rsidRDefault="00000000" w:rsidRPr="00000000" w14:paraId="00000049">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elsa.villalba@another.co</w:t>
            </w:r>
          </w:p>
        </w:tc>
        <w:tc>
          <w:tcPr/>
          <w:p w:rsidR="00000000" w:rsidDel="00000000" w:rsidP="00000000" w:rsidRDefault="00000000" w:rsidRPr="00000000" w14:paraId="0000004A">
            <w:pPr>
              <w:spacing w:line="259" w:lineRule="auto"/>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4B">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 </w:t>
            </w:r>
          </w:p>
          <w:p w:rsidR="00000000" w:rsidDel="00000000" w:rsidP="00000000" w:rsidRDefault="00000000" w:rsidRPr="00000000" w14:paraId="0000004C">
            <w:pPr>
              <w:spacing w:line="259" w:lineRule="auto"/>
              <w:rPr>
                <w:rFonts w:ascii="Century Gothic" w:cs="Century Gothic" w:eastAsia="Century Gothic" w:hAnsi="Century Gothic"/>
                <w:color w:val="000000"/>
                <w:sz w:val="18"/>
                <w:szCs w:val="18"/>
              </w:rPr>
            </w:pPr>
            <w:r w:rsidDel="00000000" w:rsidR="00000000" w:rsidRPr="00000000">
              <w:rPr>
                <w:rtl w:val="0"/>
              </w:rPr>
            </w:r>
          </w:p>
        </w:tc>
      </w:tr>
    </w:tbl>
    <w:p w:rsidR="00000000" w:rsidDel="00000000" w:rsidP="00000000" w:rsidRDefault="00000000" w:rsidRPr="00000000" w14:paraId="0000004D">
      <w:pPr>
        <w:spacing w:line="240" w:lineRule="auto"/>
        <w:rPr>
          <w:color w:val="000000"/>
        </w:rPr>
      </w:pPr>
      <w:r w:rsidDel="00000000" w:rsidR="00000000" w:rsidRPr="00000000">
        <w:rPr>
          <w:rtl w:val="0"/>
        </w:rPr>
      </w:r>
    </w:p>
    <w:sectPr>
      <w:footerReference r:id="rId12" w:type="default"/>
      <w:footerReference r:id="rId13" w:type="first"/>
      <w:pgSz w:h="15840" w:w="12240" w:orient="portrait"/>
      <w:pgMar w:bottom="1418" w:top="1418" w:left="1418" w:right="1418" w:header="851"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right" w:leader="none" w:pos="9267"/>
      </w:tabs>
      <w:spacing w:line="200" w:lineRule="auto"/>
      <w:ind w:right="-199"/>
      <w:rPr>
        <w:color w:val="d52b1e"/>
        <w:sz w:val="12"/>
        <w:szCs w:val="12"/>
      </w:rPr>
    </w:pPr>
    <w:r w:rsidDel="00000000" w:rsidR="00000000" w:rsidRPr="00000000">
      <w:rPr>
        <w:color w:val="d52b1e"/>
        <w:sz w:val="12"/>
        <w:szCs w:val="12"/>
        <w:rtl w:val="0"/>
      </w:rPr>
      <w:tab/>
      <w:t xml:space="preserve">www.edenred.com  </w:t>
    </w:r>
    <w:r w:rsidDel="00000000" w:rsidR="00000000" w:rsidRPr="00000000">
      <w:rPr>
        <w:color w:val="162056"/>
        <w:sz w:val="12"/>
        <w:szCs w:val="12"/>
        <w:rtl w:val="0"/>
      </w:rPr>
      <w:t xml:space="preserve">|</w:t>
    </w:r>
    <w:r w:rsidDel="00000000" w:rsidR="00000000" w:rsidRPr="00000000">
      <w:rPr>
        <w:color w:val="d52b1e"/>
        <w:sz w:val="12"/>
        <w:szCs w:val="12"/>
        <w:rtl w:val="0"/>
      </w:rPr>
      <w:t xml:space="preserve"> page </w:t>
    </w:r>
    <w:r w:rsidDel="00000000" w:rsidR="00000000" w:rsidRPr="00000000">
      <w:rPr>
        <w:color w:val="d52b1e"/>
        <w:sz w:val="12"/>
        <w:szCs w:val="12"/>
      </w:rPr>
      <w:fldChar w:fldCharType="begin"/>
      <w:instrText xml:space="preserve">PAGE</w:instrText>
      <w:fldChar w:fldCharType="separate"/>
      <w:fldChar w:fldCharType="end"/>
    </w:r>
    <w:r w:rsidDel="00000000" w:rsidR="00000000" w:rsidRPr="00000000">
      <w:rPr>
        <w:color w:val="d52b1e"/>
        <w:sz w:val="12"/>
        <w:szCs w:val="12"/>
        <w:rtl w:val="0"/>
      </w:rPr>
      <w:t xml:space="preserve">/</w:t>
    </w:r>
    <w:r w:rsidDel="00000000" w:rsidR="00000000" w:rsidRPr="00000000">
      <w:rPr>
        <w:color w:val="d52b1e"/>
        <w:sz w:val="12"/>
        <w:szCs w:val="12"/>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00" w:lineRule="auto"/>
      <w:ind w:right="-199"/>
      <w:jc w:val="right"/>
      <w:rPr>
        <w:color w:val="d52b1e"/>
        <w:sz w:val="12"/>
        <w:szCs w:val="12"/>
      </w:rPr>
    </w:pPr>
    <w:r w:rsidDel="00000000" w:rsidR="00000000" w:rsidRPr="00000000">
      <w:rPr>
        <w:color w:val="d52b1e"/>
        <w:sz w:val="12"/>
        <w:szCs w:val="12"/>
        <w:rtl w:val="0"/>
      </w:rPr>
      <w:t xml:space="preserve">www.edenred.com  </w:t>
    </w:r>
    <w:r w:rsidDel="00000000" w:rsidR="00000000" w:rsidRPr="00000000">
      <w:rPr>
        <w:color w:val="162056"/>
        <w:sz w:val="12"/>
        <w:szCs w:val="12"/>
        <w:rtl w:val="0"/>
      </w:rPr>
      <w:t xml:space="preserve">|</w:t>
    </w:r>
    <w:r w:rsidDel="00000000" w:rsidR="00000000" w:rsidRPr="00000000">
      <w:rPr>
        <w:color w:val="d52b1e"/>
        <w:sz w:val="12"/>
        <w:szCs w:val="12"/>
        <w:rtl w:val="0"/>
      </w:rPr>
      <w:t xml:space="preserve"> page </w:t>
    </w:r>
    <w:r w:rsidDel="00000000" w:rsidR="00000000" w:rsidRPr="00000000">
      <w:rPr>
        <w:color w:val="d52b1e"/>
        <w:sz w:val="12"/>
        <w:szCs w:val="12"/>
      </w:rPr>
      <w:fldChar w:fldCharType="begin"/>
      <w:instrText xml:space="preserve">PAGE</w:instrText>
      <w:fldChar w:fldCharType="separate"/>
      <w:fldChar w:fldCharType="end"/>
    </w:r>
    <w:r w:rsidDel="00000000" w:rsidR="00000000" w:rsidRPr="00000000">
      <w:rPr>
        <w:color w:val="d52b1e"/>
        <w:sz w:val="12"/>
        <w:szCs w:val="12"/>
        <w:rtl w:val="0"/>
      </w:rPr>
      <w:t xml:space="preserve">/</w:t>
    </w:r>
    <w:r w:rsidDel="00000000" w:rsidR="00000000" w:rsidRPr="00000000">
      <w:rPr>
        <w:color w:val="d52b1e"/>
        <w:sz w:val="12"/>
        <w:szCs w:val="12"/>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-174805</wp:posOffset>
          </wp:positionH>
          <wp:positionV relativeFrom="paragraph">
            <wp:posOffset>-106106</wp:posOffset>
          </wp:positionV>
          <wp:extent cx="525695" cy="337306"/>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25695" cy="337306"/>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11204c"/>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ind w:left="708"/>
    </w:pPr>
    <w:rPr>
      <w:b w:val="1"/>
      <w:color w:val="17153b"/>
      <w:sz w:val="28"/>
      <w:szCs w:val="28"/>
    </w:rPr>
  </w:style>
  <w:style w:type="paragraph" w:styleId="Heading2">
    <w:name w:val="heading 2"/>
    <w:basedOn w:val="Normal"/>
    <w:next w:val="Normal"/>
    <w:pPr>
      <w:keepNext w:val="1"/>
      <w:keepLines w:val="1"/>
      <w:spacing w:before="200" w:line="276" w:lineRule="auto"/>
      <w:ind w:left="708"/>
    </w:pPr>
    <w:rPr>
      <w:b w:val="1"/>
      <w:color w:val="201c50"/>
      <w:sz w:val="26"/>
      <w:szCs w:val="26"/>
    </w:rPr>
  </w:style>
  <w:style w:type="paragraph" w:styleId="Heading3">
    <w:name w:val="heading 3"/>
    <w:basedOn w:val="Normal"/>
    <w:next w:val="Normal"/>
    <w:pPr>
      <w:keepNext w:val="1"/>
      <w:keepLines w:val="1"/>
      <w:spacing w:before="200" w:line="276" w:lineRule="auto"/>
      <w:ind w:left="708"/>
    </w:pPr>
    <w:rPr>
      <w:b w:val="1"/>
      <w:color w:val="201c5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B1DBB"/>
    <w:pPr>
      <w:spacing w:line="260" w:lineRule="atLeast"/>
    </w:pPr>
    <w:rPr>
      <w:lang w:eastAsia="en-US"/>
    </w:rPr>
  </w:style>
  <w:style w:type="paragraph" w:styleId="Ttulo1">
    <w:name w:val="heading 1"/>
    <w:basedOn w:val="Normal"/>
    <w:next w:val="Normal"/>
    <w:link w:val="Ttulo1Car"/>
    <w:uiPriority w:val="9"/>
    <w:qFormat w:val="1"/>
    <w:rsid w:val="00572FE3"/>
    <w:pPr>
      <w:keepNext w:val="1"/>
      <w:keepLines w:val="1"/>
      <w:spacing w:before="480" w:line="276" w:lineRule="auto"/>
      <w:ind w:left="708"/>
      <w:outlineLvl w:val="0"/>
    </w:pPr>
    <w:rPr>
      <w:rFonts w:eastAsia="MS Gothic"/>
      <w:b w:val="1"/>
      <w:bCs w:val="1"/>
      <w:color w:val="17153b"/>
      <w:sz w:val="28"/>
      <w:szCs w:val="28"/>
      <w:lang w:val="en-US"/>
    </w:rPr>
  </w:style>
  <w:style w:type="paragraph" w:styleId="Ttulo2">
    <w:name w:val="heading 2"/>
    <w:basedOn w:val="Normal"/>
    <w:next w:val="Normal"/>
    <w:link w:val="Ttulo2Car"/>
    <w:uiPriority w:val="9"/>
    <w:semiHidden w:val="1"/>
    <w:unhideWhenUsed w:val="1"/>
    <w:qFormat w:val="1"/>
    <w:rsid w:val="00572FE3"/>
    <w:pPr>
      <w:keepNext w:val="1"/>
      <w:keepLines w:val="1"/>
      <w:spacing w:before="200" w:line="276" w:lineRule="auto"/>
      <w:ind w:left="708"/>
      <w:outlineLvl w:val="1"/>
    </w:pPr>
    <w:rPr>
      <w:rFonts w:eastAsia="MS Gothic"/>
      <w:b w:val="1"/>
      <w:bCs w:val="1"/>
      <w:color w:val="201c50"/>
      <w:sz w:val="26"/>
      <w:szCs w:val="26"/>
      <w:lang w:val="en-US"/>
    </w:rPr>
  </w:style>
  <w:style w:type="paragraph" w:styleId="Ttulo3">
    <w:name w:val="heading 3"/>
    <w:basedOn w:val="Normal"/>
    <w:next w:val="Normal"/>
    <w:link w:val="Ttulo3Car"/>
    <w:uiPriority w:val="9"/>
    <w:semiHidden w:val="1"/>
    <w:unhideWhenUsed w:val="1"/>
    <w:qFormat w:val="1"/>
    <w:rsid w:val="00572FE3"/>
    <w:pPr>
      <w:keepNext w:val="1"/>
      <w:keepLines w:val="1"/>
      <w:spacing w:before="200" w:line="276" w:lineRule="auto"/>
      <w:ind w:left="708"/>
      <w:outlineLvl w:val="2"/>
    </w:pPr>
    <w:rPr>
      <w:rFonts w:eastAsia="MS Gothic"/>
      <w:b w:val="1"/>
      <w:bCs w:val="1"/>
      <w:color w:val="201c50"/>
      <w:szCs w:val="22"/>
      <w:lang w:val="en-US"/>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3"/>
    <w:unhideWhenUsed w:val="1"/>
    <w:rsid w:val="00AA2F5A"/>
    <w:pPr>
      <w:spacing w:line="240" w:lineRule="auto"/>
    </w:pPr>
    <w:rPr>
      <w:rFonts w:asciiTheme="minorHAnsi" w:hAnsiTheme="minorHAnsi"/>
      <w:noProof w:val="1"/>
      <w:color w:val="auto"/>
      <w:sz w:val="28"/>
    </w:rPr>
  </w:style>
  <w:style w:type="paragraph" w:styleId="Piedepgina">
    <w:name w:val="footer"/>
    <w:basedOn w:val="Normal"/>
    <w:link w:val="PiedepginaCar"/>
    <w:uiPriority w:val="99"/>
    <w:semiHidden w:val="1"/>
    <w:rsid w:val="007C4AA9"/>
    <w:pPr>
      <w:tabs>
        <w:tab w:val="center" w:pos="4536"/>
        <w:tab w:val="right" w:pos="9072"/>
      </w:tabs>
      <w:spacing w:line="240" w:lineRule="auto"/>
    </w:pPr>
  </w:style>
  <w:style w:type="table" w:styleId="Tablaconcuadrcula">
    <w:name w:val="Table Grid"/>
    <w:basedOn w:val="Tablanormal"/>
    <w:rsid w:val="00A20CFF"/>
    <w:pPr>
      <w:spacing w:line="216"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denredDate" w:customStyle="1">
    <w:name w:val="Edenred Date"/>
    <w:basedOn w:val="Encabezado"/>
    <w:uiPriority w:val="1"/>
    <w:rsid w:val="00AA2F5A"/>
    <w:pPr>
      <w:jc w:val="right"/>
    </w:pPr>
    <w:rPr>
      <w:sz w:val="20"/>
    </w:rPr>
  </w:style>
  <w:style w:type="paragraph" w:styleId="EdenredTitle" w:customStyle="1">
    <w:name w:val="Edenred Title"/>
    <w:basedOn w:val="Text"/>
    <w:uiPriority w:val="1"/>
    <w:rsid w:val="00C874D9"/>
    <w:rPr>
      <w:color w:val="162056" w:themeColor="text2"/>
      <w:sz w:val="40"/>
      <w:szCs w:val="40"/>
    </w:rPr>
  </w:style>
  <w:style w:type="paragraph" w:styleId="Edenredsubtitle" w:customStyle="1">
    <w:name w:val="Edenred subtitle"/>
    <w:basedOn w:val="Normal"/>
    <w:uiPriority w:val="1"/>
    <w:rsid w:val="00C874D9"/>
    <w:pPr>
      <w:spacing w:line="259" w:lineRule="auto"/>
      <w:jc w:val="both"/>
    </w:pPr>
    <w:rPr>
      <w:rFonts w:asciiTheme="minorHAnsi" w:hAnsiTheme="minorHAnsi"/>
      <w:color w:val="003591" w:themeColor="accent5"/>
      <w:sz w:val="30"/>
      <w:szCs w:val="30"/>
      <w:lang w:val="en-US"/>
    </w:rPr>
  </w:style>
  <w:style w:type="paragraph" w:styleId="Text" w:customStyle="1">
    <w:name w:val="Text"/>
    <w:basedOn w:val="Normal"/>
    <w:link w:val="TextCar"/>
    <w:rsid w:val="005D27E5"/>
    <w:pPr>
      <w:spacing w:line="259" w:lineRule="auto"/>
      <w:jc w:val="both"/>
    </w:pPr>
    <w:rPr>
      <w:rFonts w:asciiTheme="minorHAnsi" w:hAnsiTheme="minorHAnsi"/>
      <w:color w:val="auto"/>
      <w:lang w:val="en-US"/>
    </w:rPr>
  </w:style>
  <w:style w:type="character" w:styleId="PiedepginaCar" w:customStyle="1">
    <w:name w:val="Pie de página Car"/>
    <w:basedOn w:val="Fuentedeprrafopredeter"/>
    <w:link w:val="Piedepgina"/>
    <w:uiPriority w:val="99"/>
    <w:semiHidden w:val="1"/>
    <w:rsid w:val="00011F84"/>
    <w:rPr>
      <w:rFonts w:ascii="Arial" w:hAnsi="Arial"/>
      <w:color w:val="11204c"/>
      <w:lang w:eastAsia="en-US"/>
    </w:rPr>
  </w:style>
  <w:style w:type="paragraph" w:styleId="Textodeglobo">
    <w:name w:val="Balloon Text"/>
    <w:basedOn w:val="Normal"/>
    <w:link w:val="TextodegloboCar"/>
    <w:uiPriority w:val="99"/>
    <w:semiHidden w:val="1"/>
    <w:rsid w:val="00F616FA"/>
    <w:pPr>
      <w:spacing w:line="240" w:lineRule="auto"/>
    </w:pPr>
    <w:rPr>
      <w:rFonts w:ascii="Tahoma" w:cs="Tahoma" w:hAnsi="Tahoma"/>
      <w:sz w:val="16"/>
      <w:szCs w:val="16"/>
    </w:rPr>
  </w:style>
  <w:style w:type="character" w:styleId="TextodegloboCar" w:customStyle="1">
    <w:name w:val="Texto de globo Car"/>
    <w:link w:val="Textodeglobo"/>
    <w:uiPriority w:val="99"/>
    <w:semiHidden w:val="1"/>
    <w:rsid w:val="00011F84"/>
    <w:rPr>
      <w:rFonts w:ascii="Tahoma" w:cs="Tahoma" w:hAnsi="Tahoma"/>
      <w:color w:val="11204c"/>
      <w:sz w:val="16"/>
      <w:szCs w:val="16"/>
      <w:lang w:eastAsia="en-US"/>
    </w:rPr>
  </w:style>
  <w:style w:type="paragraph" w:styleId="Page" w:customStyle="1">
    <w:name w:val="Page"/>
    <w:basedOn w:val="Normal"/>
    <w:uiPriority w:val="3"/>
    <w:unhideWhenUsed w:val="1"/>
    <w:rsid w:val="009146FB"/>
    <w:pPr>
      <w:framePr w:lines="0" w:w="9724" w:h="539" w:wrap="around" w:hAnchor="page" w:vAnchor="page" w:x="1504" w:y="15027"/>
      <w:jc w:val="right"/>
    </w:pPr>
    <w:rPr>
      <w:sz w:val="16"/>
    </w:rPr>
  </w:style>
  <w:style w:type="character" w:styleId="TextCar" w:customStyle="1">
    <w:name w:val="Text Car"/>
    <w:link w:val="Text"/>
    <w:rsid w:val="00011F84"/>
    <w:rPr>
      <w:rFonts w:cs="Arial" w:asciiTheme="minorHAnsi" w:hAnsiTheme="minorHAnsi"/>
      <w:lang w:eastAsia="en-US" w:val="en-US"/>
    </w:rPr>
  </w:style>
  <w:style w:type="paragraph" w:styleId="Textonotapie">
    <w:name w:val="footnote text"/>
    <w:basedOn w:val="Normal"/>
    <w:link w:val="TextonotapieCar"/>
    <w:uiPriority w:val="3"/>
    <w:rsid w:val="008B1359"/>
    <w:pPr>
      <w:spacing w:line="240" w:lineRule="auto"/>
    </w:pPr>
    <w:rPr>
      <w:rFonts w:asciiTheme="minorHAnsi" w:hAnsiTheme="minorHAnsi"/>
      <w:color w:val="auto"/>
      <w:sz w:val="14"/>
    </w:rPr>
  </w:style>
  <w:style w:type="character" w:styleId="TextonotapieCar" w:customStyle="1">
    <w:name w:val="Texto nota pie Car"/>
    <w:link w:val="Textonotapie"/>
    <w:uiPriority w:val="3"/>
    <w:rsid w:val="00011F84"/>
    <w:rPr>
      <w:rFonts w:asciiTheme="minorHAnsi" w:hAnsiTheme="minorHAnsi"/>
      <w:sz w:val="14"/>
      <w:lang w:eastAsia="en-US"/>
    </w:rPr>
  </w:style>
  <w:style w:type="character" w:styleId="Refdenotaalpie">
    <w:name w:val="footnote reference"/>
    <w:uiPriority w:val="3"/>
    <w:rsid w:val="003E71F4"/>
    <w:rPr>
      <w:vertAlign w:val="superscript"/>
    </w:rPr>
  </w:style>
  <w:style w:type="character" w:styleId="Ttulo1Car" w:customStyle="1">
    <w:name w:val="Título 1 Car"/>
    <w:link w:val="Ttulo1"/>
    <w:uiPriority w:val="9"/>
    <w:semiHidden w:val="1"/>
    <w:rsid w:val="00011F84"/>
    <w:rPr>
      <w:rFonts w:ascii="Arial" w:eastAsia="MS Gothic" w:hAnsi="Arial"/>
      <w:b w:val="1"/>
      <w:bCs w:val="1"/>
      <w:color w:val="17153b"/>
      <w:sz w:val="28"/>
      <w:szCs w:val="28"/>
      <w:lang w:eastAsia="en-US" w:val="en-US"/>
    </w:rPr>
  </w:style>
  <w:style w:type="character" w:styleId="Ttulo2Car" w:customStyle="1">
    <w:name w:val="Título 2 Car"/>
    <w:link w:val="Ttulo2"/>
    <w:uiPriority w:val="9"/>
    <w:semiHidden w:val="1"/>
    <w:rsid w:val="00011F84"/>
    <w:rPr>
      <w:rFonts w:ascii="Arial" w:eastAsia="MS Gothic" w:hAnsi="Arial"/>
      <w:b w:val="1"/>
      <w:bCs w:val="1"/>
      <w:color w:val="201c50"/>
      <w:sz w:val="26"/>
      <w:szCs w:val="26"/>
      <w:lang w:eastAsia="en-US" w:val="en-US"/>
    </w:rPr>
  </w:style>
  <w:style w:type="character" w:styleId="Ttulo3Car" w:customStyle="1">
    <w:name w:val="Título 3 Car"/>
    <w:link w:val="Ttulo3"/>
    <w:uiPriority w:val="9"/>
    <w:semiHidden w:val="1"/>
    <w:rsid w:val="00011F84"/>
    <w:rPr>
      <w:rFonts w:ascii="Arial" w:eastAsia="MS Gothic" w:hAnsi="Arial"/>
      <w:b w:val="1"/>
      <w:bCs w:val="1"/>
      <w:color w:val="201c50"/>
      <w:szCs w:val="22"/>
      <w:lang w:eastAsia="en-US" w:val="en-US"/>
    </w:rPr>
  </w:style>
  <w:style w:type="paragraph" w:styleId="Title1" w:customStyle="1">
    <w:name w:val="Title 1"/>
    <w:basedOn w:val="Normal"/>
    <w:link w:val="Title1Car"/>
    <w:uiPriority w:val="1"/>
    <w:rsid w:val="005D27E5"/>
    <w:pPr>
      <w:spacing w:line="259" w:lineRule="auto"/>
      <w:jc w:val="both"/>
    </w:pPr>
    <w:rPr>
      <w:rFonts w:asciiTheme="minorHAnsi" w:hAnsiTheme="minorHAnsi"/>
      <w:b w:val="1"/>
      <w:noProof w:val="1"/>
      <w:color w:val="003591" w:themeColor="accent5"/>
      <w:sz w:val="28"/>
      <w:szCs w:val="28"/>
      <w:lang w:eastAsia="fr-FR" w:val="en-US"/>
    </w:rPr>
  </w:style>
  <w:style w:type="character" w:styleId="Title1Car" w:customStyle="1">
    <w:name w:val="Title 1 Car"/>
    <w:link w:val="Title1"/>
    <w:uiPriority w:val="1"/>
    <w:rsid w:val="00011F84"/>
    <w:rPr>
      <w:rFonts w:cs="Arial" w:asciiTheme="minorHAnsi" w:hAnsiTheme="minorHAnsi"/>
      <w:b w:val="1"/>
      <w:noProof w:val="1"/>
      <w:color w:val="003591" w:themeColor="accent5"/>
      <w:sz w:val="28"/>
      <w:szCs w:val="28"/>
      <w:lang w:val="en-US"/>
    </w:rPr>
  </w:style>
  <w:style w:type="paragraph" w:styleId="Title2" w:customStyle="1">
    <w:name w:val="Title 2"/>
    <w:basedOn w:val="Normal"/>
    <w:next w:val="Normal"/>
    <w:link w:val="Title2Car"/>
    <w:uiPriority w:val="1"/>
    <w:rsid w:val="005D27E5"/>
    <w:pPr>
      <w:spacing w:line="276" w:lineRule="auto"/>
      <w:jc w:val="both"/>
    </w:pPr>
    <w:rPr>
      <w:rFonts w:asciiTheme="minorHAnsi" w:hAnsiTheme="minorHAnsi"/>
      <w:b w:val="1"/>
      <w:noProof w:val="1"/>
      <w:color w:val="003591" w:themeColor="accent5"/>
      <w:sz w:val="24"/>
      <w:szCs w:val="24"/>
      <w:lang w:val="en-US"/>
    </w:rPr>
  </w:style>
  <w:style w:type="character" w:styleId="Title2Car" w:customStyle="1">
    <w:name w:val="Title 2 Car"/>
    <w:link w:val="Title2"/>
    <w:uiPriority w:val="1"/>
    <w:rsid w:val="00011F84"/>
    <w:rPr>
      <w:rFonts w:cs="Arial" w:asciiTheme="minorHAnsi" w:hAnsiTheme="minorHAnsi"/>
      <w:b w:val="1"/>
      <w:noProof w:val="1"/>
      <w:color w:val="003591" w:themeColor="accent5"/>
      <w:sz w:val="24"/>
      <w:szCs w:val="24"/>
      <w:lang w:eastAsia="en-US" w:val="en-US"/>
    </w:rPr>
  </w:style>
  <w:style w:type="paragraph" w:styleId="BulletLead-in1" w:customStyle="1">
    <w:name w:val="Bullet Lead-in 1"/>
    <w:basedOn w:val="Normal"/>
    <w:link w:val="BulletLead-in1Car"/>
    <w:uiPriority w:val="2"/>
    <w:rsid w:val="007C4AA9"/>
    <w:pPr>
      <w:spacing w:line="259" w:lineRule="auto"/>
      <w:contextualSpacing w:val="1"/>
      <w:jc w:val="both"/>
    </w:pPr>
    <w:rPr>
      <w:rFonts w:asciiTheme="minorHAnsi" w:hAnsiTheme="minorHAnsi"/>
      <w:b w:val="1"/>
      <w:color w:val="auto"/>
      <w:lang w:val="en-US"/>
    </w:rPr>
  </w:style>
  <w:style w:type="character" w:styleId="BulletLead-in1Car" w:customStyle="1">
    <w:name w:val="Bullet Lead-in 1 Car"/>
    <w:link w:val="BulletLead-in1"/>
    <w:uiPriority w:val="2"/>
    <w:rsid w:val="00011F84"/>
    <w:rPr>
      <w:rFonts w:cs="Arial" w:asciiTheme="minorHAnsi" w:hAnsiTheme="minorHAnsi"/>
      <w:b w:val="1"/>
      <w:lang w:eastAsia="en-US" w:val="en-US"/>
    </w:rPr>
  </w:style>
  <w:style w:type="paragraph" w:styleId="BulletLead-in2" w:customStyle="1">
    <w:name w:val="Bullet Lead-in 2"/>
    <w:basedOn w:val="Normal"/>
    <w:link w:val="BulletLead-in2Car"/>
    <w:uiPriority w:val="2"/>
    <w:rsid w:val="00AA2F5A"/>
    <w:rPr>
      <w:rFonts w:asciiTheme="minorHAnsi" w:hAnsiTheme="minorHAnsi"/>
      <w:color w:val="auto"/>
    </w:rPr>
  </w:style>
  <w:style w:type="character" w:styleId="BulletLead-in2Car" w:customStyle="1">
    <w:name w:val="Bullet Lead-in 2 Car"/>
    <w:link w:val="BulletLead-in2"/>
    <w:uiPriority w:val="2"/>
    <w:rsid w:val="00AA2F5A"/>
    <w:rPr>
      <w:rFonts w:asciiTheme="minorHAnsi" w:hAnsiTheme="minorHAnsi"/>
      <w:lang w:eastAsia="en-US"/>
    </w:rPr>
  </w:style>
  <w:style w:type="paragraph" w:styleId="TtuloTDC">
    <w:name w:val="TOC Heading"/>
    <w:basedOn w:val="Ttulo1"/>
    <w:next w:val="Normal"/>
    <w:uiPriority w:val="39"/>
    <w:semiHidden w:val="1"/>
    <w:qFormat w:val="1"/>
    <w:rsid w:val="00572FE3"/>
    <w:pPr>
      <w:outlineLvl w:val="9"/>
    </w:pPr>
    <w:rPr>
      <w:lang w:eastAsia="fr-FR"/>
    </w:rPr>
  </w:style>
  <w:style w:type="paragraph" w:styleId="Textoindependiente">
    <w:name w:val="Body Text"/>
    <w:basedOn w:val="Normal"/>
    <w:link w:val="TextoindependienteCar"/>
    <w:uiPriority w:val="99"/>
    <w:semiHidden w:val="1"/>
    <w:rsid w:val="00572FE3"/>
    <w:pPr>
      <w:spacing w:after="120" w:line="276" w:lineRule="auto"/>
      <w:ind w:left="708"/>
    </w:pPr>
    <w:rPr>
      <w:color w:val="002060"/>
      <w:szCs w:val="22"/>
      <w:lang w:val="en-US"/>
    </w:rPr>
  </w:style>
  <w:style w:type="character" w:styleId="TextoindependienteCar" w:customStyle="1">
    <w:name w:val="Texto independiente Car"/>
    <w:link w:val="Textoindependiente"/>
    <w:uiPriority w:val="99"/>
    <w:semiHidden w:val="1"/>
    <w:rsid w:val="00011F84"/>
    <w:rPr>
      <w:rFonts w:ascii="Arial" w:eastAsia="Arial" w:hAnsi="Arial"/>
      <w:color w:val="002060"/>
      <w:szCs w:val="22"/>
      <w:lang w:eastAsia="en-US" w:val="en-US"/>
    </w:rPr>
  </w:style>
  <w:style w:type="character" w:styleId="EncabezadoCar" w:customStyle="1">
    <w:name w:val="Encabezado Car"/>
    <w:link w:val="Encabezado"/>
    <w:uiPriority w:val="3"/>
    <w:rsid w:val="00AA2F5A"/>
    <w:rPr>
      <w:rFonts w:asciiTheme="minorHAnsi" w:hAnsiTheme="minorHAnsi"/>
      <w:noProof w:val="1"/>
      <w:sz w:val="28"/>
      <w:lang w:eastAsia="en-US"/>
    </w:rPr>
  </w:style>
  <w:style w:type="character" w:styleId="Hipervnculo">
    <w:name w:val="Hyperlink"/>
    <w:uiPriority w:val="3"/>
    <w:unhideWhenUsed w:val="1"/>
    <w:qFormat w:val="1"/>
    <w:rsid w:val="00572FE3"/>
    <w:rPr>
      <w:color w:val="55517b"/>
    </w:rPr>
  </w:style>
  <w:style w:type="paragraph" w:styleId="Textonotaalfinal">
    <w:name w:val="endnote text"/>
    <w:basedOn w:val="Normal"/>
    <w:link w:val="TextonotaalfinalCar"/>
    <w:uiPriority w:val="99"/>
    <w:semiHidden w:val="1"/>
    <w:rsid w:val="00572FE3"/>
    <w:pPr>
      <w:spacing w:line="240" w:lineRule="auto"/>
      <w:ind w:left="708"/>
    </w:pPr>
    <w:rPr>
      <w:color w:val="002060"/>
      <w:lang w:val="en-US"/>
    </w:rPr>
  </w:style>
  <w:style w:type="character" w:styleId="TextonotaalfinalCar" w:customStyle="1">
    <w:name w:val="Texto nota al final Car"/>
    <w:link w:val="Textonotaalfinal"/>
    <w:uiPriority w:val="99"/>
    <w:semiHidden w:val="1"/>
    <w:rsid w:val="00011F84"/>
    <w:rPr>
      <w:rFonts w:ascii="Arial" w:eastAsia="Arial" w:hAnsi="Arial"/>
      <w:color w:val="002060"/>
      <w:lang w:eastAsia="en-US" w:val="en-US"/>
    </w:rPr>
  </w:style>
  <w:style w:type="character" w:styleId="Refdenotaalfinal">
    <w:name w:val="endnote reference"/>
    <w:uiPriority w:val="99"/>
    <w:semiHidden w:val="1"/>
    <w:rsid w:val="00572FE3"/>
    <w:rPr>
      <w:vertAlign w:val="superscript"/>
    </w:rPr>
  </w:style>
  <w:style w:type="character" w:styleId="Refdecomentario">
    <w:name w:val="annotation reference"/>
    <w:uiPriority w:val="99"/>
    <w:semiHidden w:val="1"/>
    <w:rsid w:val="00572FE3"/>
    <w:rPr>
      <w:sz w:val="16"/>
      <w:szCs w:val="16"/>
    </w:rPr>
  </w:style>
  <w:style w:type="paragraph" w:styleId="Textocomentario">
    <w:name w:val="annotation text"/>
    <w:basedOn w:val="Normal"/>
    <w:link w:val="TextocomentarioCar"/>
    <w:uiPriority w:val="99"/>
    <w:semiHidden w:val="1"/>
    <w:rsid w:val="00572FE3"/>
    <w:pPr>
      <w:spacing w:after="200" w:line="240" w:lineRule="auto"/>
      <w:ind w:left="708"/>
    </w:pPr>
    <w:rPr>
      <w:color w:val="002060"/>
      <w:lang w:val="en-US"/>
    </w:rPr>
  </w:style>
  <w:style w:type="character" w:styleId="TextocomentarioCar" w:customStyle="1">
    <w:name w:val="Texto comentario Car"/>
    <w:link w:val="Textocomentario"/>
    <w:uiPriority w:val="99"/>
    <w:semiHidden w:val="1"/>
    <w:rsid w:val="00011F84"/>
    <w:rPr>
      <w:rFonts w:ascii="Arial" w:eastAsia="Arial" w:hAnsi="Arial"/>
      <w:color w:val="002060"/>
      <w:lang w:eastAsia="en-US" w:val="en-US"/>
    </w:rPr>
  </w:style>
  <w:style w:type="paragraph" w:styleId="Asuntodelcomentario">
    <w:name w:val="annotation subject"/>
    <w:basedOn w:val="Textocomentario"/>
    <w:next w:val="Textocomentario"/>
    <w:link w:val="AsuntodelcomentarioCar"/>
    <w:uiPriority w:val="99"/>
    <w:semiHidden w:val="1"/>
    <w:rsid w:val="00572FE3"/>
    <w:rPr>
      <w:b w:val="1"/>
      <w:bCs w:val="1"/>
    </w:rPr>
  </w:style>
  <w:style w:type="character" w:styleId="AsuntodelcomentarioCar" w:customStyle="1">
    <w:name w:val="Asunto del comentario Car"/>
    <w:link w:val="Asuntodelcomentario"/>
    <w:uiPriority w:val="99"/>
    <w:semiHidden w:val="1"/>
    <w:rsid w:val="00011F84"/>
    <w:rPr>
      <w:rFonts w:ascii="Arial" w:eastAsia="Arial" w:hAnsi="Arial"/>
      <w:b w:val="1"/>
      <w:bCs w:val="1"/>
      <w:color w:val="002060"/>
      <w:lang w:eastAsia="en-US" w:val="en-US"/>
    </w:rPr>
  </w:style>
  <w:style w:type="paragraph" w:styleId="Revisin">
    <w:name w:val="Revision"/>
    <w:hidden w:val="1"/>
    <w:uiPriority w:val="99"/>
    <w:semiHidden w:val="1"/>
    <w:rsid w:val="00572FE3"/>
    <w:rPr>
      <w:color w:val="002060"/>
      <w:szCs w:val="22"/>
      <w:lang w:eastAsia="en-US" w:val="en-US"/>
    </w:rPr>
  </w:style>
  <w:style w:type="character" w:styleId="Hipervnculovisitado">
    <w:name w:val="FollowedHyperlink"/>
    <w:uiPriority w:val="99"/>
    <w:semiHidden w:val="1"/>
    <w:rsid w:val="00D82B1A"/>
    <w:rPr>
      <w:color w:val="0f004e"/>
      <w:u w:val="single"/>
    </w:rPr>
  </w:style>
  <w:style w:type="paragraph" w:styleId="Tablecaptiontext" w:customStyle="1">
    <w:name w:val="Table caption text"/>
    <w:basedOn w:val="Normal"/>
    <w:uiPriority w:val="2"/>
    <w:rsid w:val="00BA43B3"/>
    <w:pPr>
      <w:spacing w:line="260" w:lineRule="exact"/>
      <w:ind w:right="113"/>
    </w:pPr>
    <w:rPr>
      <w:rFonts w:asciiTheme="minorHAnsi" w:hAnsiTheme="minorHAnsi"/>
      <w:color w:val="auto"/>
      <w:sz w:val="16"/>
      <w:lang w:eastAsia="fr-FR" w:val="en-GB"/>
    </w:rPr>
  </w:style>
  <w:style w:type="paragraph" w:styleId="Tablecolumntitle" w:customStyle="1">
    <w:name w:val="Table column title"/>
    <w:basedOn w:val="Normal"/>
    <w:uiPriority w:val="2"/>
    <w:rsid w:val="00BA43B3"/>
    <w:pPr>
      <w:spacing w:line="260" w:lineRule="exact"/>
      <w:ind w:left="113" w:right="113"/>
      <w:jc w:val="right"/>
    </w:pPr>
    <w:rPr>
      <w:rFonts w:asciiTheme="minorHAnsi" w:hAnsiTheme="minorHAnsi"/>
      <w:color w:val="auto"/>
      <w:sz w:val="16"/>
      <w:lang w:eastAsia="fr-FR" w:val="en-GB"/>
    </w:rPr>
  </w:style>
  <w:style w:type="character" w:styleId="BoilerPlateChar" w:customStyle="1">
    <w:name w:val="Boiler Plate Char"/>
    <w:link w:val="BoilerPlate"/>
    <w:uiPriority w:val="2"/>
    <w:locked w:val="1"/>
    <w:rsid w:val="00011F84"/>
    <w:rPr>
      <w:rFonts w:cs="Calibri" w:eastAsia="Calibri" w:asciiTheme="minorHAnsi" w:hAnsiTheme="minorHAnsi"/>
      <w:sz w:val="16"/>
      <w:szCs w:val="14"/>
      <w:lang w:eastAsia="en-US" w:val="en-US"/>
    </w:rPr>
  </w:style>
  <w:style w:type="paragraph" w:styleId="BoilerPlate" w:customStyle="1">
    <w:name w:val="Boiler Plate"/>
    <w:basedOn w:val="Normal"/>
    <w:link w:val="BoilerPlateChar"/>
    <w:uiPriority w:val="2"/>
    <w:rsid w:val="00CD1ECE"/>
    <w:pPr>
      <w:spacing w:line="259" w:lineRule="auto"/>
      <w:jc w:val="both"/>
    </w:pPr>
    <w:rPr>
      <w:rFonts w:cs="Calibri" w:eastAsia="Calibri" w:asciiTheme="minorHAnsi" w:hAnsiTheme="minorHAnsi"/>
      <w:color w:val="auto"/>
      <w:sz w:val="16"/>
      <w:szCs w:val="14"/>
      <w:lang w:val="en-US"/>
    </w:rPr>
  </w:style>
  <w:style w:type="paragraph" w:styleId="Pagefooter" w:customStyle="1">
    <w:name w:val="Page footer"/>
    <w:basedOn w:val="Normal"/>
    <w:uiPriority w:val="3"/>
    <w:qFormat w:val="1"/>
    <w:rsid w:val="007C4AA9"/>
    <w:pPr>
      <w:spacing w:line="200" w:lineRule="exact"/>
      <w:ind w:right="-199"/>
      <w:jc w:val="right"/>
    </w:pPr>
    <w:rPr>
      <w:color w:val="d52b1e" w:themeColor="accent1"/>
      <w:sz w:val="12"/>
      <w:lang w:eastAsia="fr-FR"/>
    </w:rPr>
  </w:style>
  <w:style w:type="paragraph" w:styleId="Title3" w:customStyle="1">
    <w:name w:val="Title 3"/>
    <w:basedOn w:val="Normal"/>
    <w:link w:val="Title3Car"/>
    <w:uiPriority w:val="1"/>
    <w:qFormat w:val="1"/>
    <w:rsid w:val="005D27E5"/>
    <w:pPr>
      <w:spacing w:line="259" w:lineRule="auto"/>
    </w:pPr>
    <w:rPr>
      <w:rFonts w:asciiTheme="minorHAnsi" w:hAnsiTheme="minorHAnsi"/>
      <w:b w:val="1"/>
      <w:noProof w:val="1"/>
      <w:color w:val="003591" w:themeColor="accent5"/>
      <w:lang w:val="en-US"/>
    </w:rPr>
  </w:style>
  <w:style w:type="character" w:styleId="Title3Car" w:customStyle="1">
    <w:name w:val="Title 3 Car"/>
    <w:basedOn w:val="Fuentedeprrafopredeter"/>
    <w:link w:val="Title3"/>
    <w:uiPriority w:val="1"/>
    <w:rsid w:val="00011F84"/>
    <w:rPr>
      <w:rFonts w:cs="Arial" w:asciiTheme="minorHAnsi" w:hAnsiTheme="minorHAnsi"/>
      <w:b w:val="1"/>
      <w:noProof w:val="1"/>
      <w:color w:val="003591" w:themeColor="accent5"/>
      <w:lang w:eastAsia="en-US" w:val="en-US"/>
    </w:rPr>
  </w:style>
  <w:style w:type="paragraph" w:styleId="Lead-in" w:customStyle="1">
    <w:name w:val="Lead-in"/>
    <w:basedOn w:val="Text"/>
    <w:link w:val="Lead-inCar"/>
    <w:uiPriority w:val="1"/>
    <w:qFormat w:val="1"/>
    <w:rsid w:val="005D27E5"/>
  </w:style>
  <w:style w:type="character" w:styleId="Lead-inCar" w:customStyle="1">
    <w:name w:val="Lead-in Car"/>
    <w:basedOn w:val="TextCar"/>
    <w:link w:val="Lead-in"/>
    <w:uiPriority w:val="1"/>
    <w:rsid w:val="00011F84"/>
    <w:rPr>
      <w:rFonts w:cs="Arial" w:asciiTheme="minorHAnsi" w:hAnsiTheme="minorHAnsi"/>
      <w:lang w:eastAsia="en-US" w:val="en-US"/>
    </w:rPr>
  </w:style>
  <w:style w:type="paragraph" w:styleId="BoxBullet1" w:customStyle="1">
    <w:name w:val="Box Bullet 1"/>
    <w:uiPriority w:val="2"/>
    <w:qFormat w:val="1"/>
    <w:rsid w:val="009838A3"/>
    <w:pPr>
      <w:numPr>
        <w:numId w:val="2"/>
      </w:numPr>
      <w:ind w:left="357" w:hanging="357"/>
    </w:pPr>
    <w:rPr>
      <w:rFonts w:asciiTheme="minorHAnsi" w:hAnsiTheme="minorHAnsi"/>
      <w:b w:val="1"/>
      <w:noProof w:val="1"/>
      <w:color w:val="003591" w:themeColor="accent5"/>
      <w:lang w:val="en-US"/>
    </w:rPr>
  </w:style>
  <w:style w:type="paragraph" w:styleId="Prrafodelista">
    <w:name w:val="List Paragraph"/>
    <w:basedOn w:val="Normal"/>
    <w:link w:val="PrrafodelistaCar"/>
    <w:uiPriority w:val="99"/>
    <w:qFormat w:val="1"/>
    <w:rsid w:val="009838A3"/>
    <w:pPr>
      <w:ind w:left="720"/>
      <w:contextualSpacing w:val="1"/>
    </w:pPr>
  </w:style>
  <w:style w:type="paragraph" w:styleId="BoxBullet2" w:customStyle="1">
    <w:name w:val="Box Bullet 2"/>
    <w:uiPriority w:val="2"/>
    <w:qFormat w:val="1"/>
    <w:rsid w:val="00AA2F5A"/>
    <w:pPr>
      <w:tabs>
        <w:tab w:val="num" w:pos="720"/>
      </w:tabs>
      <w:ind w:left="714" w:hanging="357"/>
    </w:pPr>
    <w:rPr>
      <w:rFonts w:asciiTheme="minorHAnsi" w:hAnsiTheme="minorHAnsi"/>
      <w:lang w:eastAsia="en-US"/>
    </w:rPr>
  </w:style>
  <w:style w:type="character" w:styleId="PrrafodelistaCar" w:customStyle="1">
    <w:name w:val="Párrafo de lista Car"/>
    <w:link w:val="Prrafodelista"/>
    <w:uiPriority w:val="99"/>
    <w:rsid w:val="0003295E"/>
    <w:rPr>
      <w:rFonts w:ascii="Arial" w:hAnsi="Arial"/>
      <w:color w:val="11204c"/>
      <w:lang w:eastAsia="en-US"/>
    </w:rPr>
  </w:style>
  <w:style w:type="paragraph" w:styleId="NormalWeb">
    <w:name w:val="Normal (Web)"/>
    <w:basedOn w:val="Normal"/>
    <w:uiPriority w:val="99"/>
    <w:unhideWhenUsed w:val="1"/>
    <w:rsid w:val="00371EA7"/>
    <w:pPr>
      <w:spacing w:line="240" w:lineRule="auto"/>
    </w:pPr>
    <w:rPr>
      <w:rFonts w:ascii="Calibri" w:cs="Calibri" w:hAnsi="Calibri" w:eastAsiaTheme="minorHAnsi"/>
      <w:color w:val="auto"/>
      <w:sz w:val="22"/>
      <w:szCs w:val="22"/>
      <w:lang w:eastAsia="fr-FR" w:val="en-US"/>
    </w:rPr>
  </w:style>
  <w:style w:type="paragraph" w:styleId="HTMLconformatoprevio">
    <w:name w:val="HTML Preformatted"/>
    <w:basedOn w:val="Normal"/>
    <w:link w:val="HTMLconformatoprevioCar"/>
    <w:uiPriority w:val="99"/>
    <w:semiHidden w:val="1"/>
    <w:unhideWhenUsed w:val="1"/>
    <w:rsid w:val="0088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hAnsi="Courier New"/>
      <w:color w:val="auto"/>
      <w:lang w:eastAsia="es-MX"/>
    </w:rPr>
  </w:style>
  <w:style w:type="character" w:styleId="HTMLconformatoprevioCar" w:customStyle="1">
    <w:name w:val="HTML con formato previo Car"/>
    <w:basedOn w:val="Fuentedeprrafopredeter"/>
    <w:link w:val="HTMLconformatoprevio"/>
    <w:uiPriority w:val="99"/>
    <w:semiHidden w:val="1"/>
    <w:rsid w:val="008845F3"/>
    <w:rPr>
      <w:rFonts w:ascii="Courier New" w:cs="Courier New" w:hAnsi="Courier New"/>
      <w:lang w:eastAsia="es-MX" w:val="es-MX"/>
    </w:rPr>
  </w:style>
  <w:style w:type="character" w:styleId="y2iqfc" w:customStyle="1">
    <w:name w:val="y2iqfc"/>
    <w:basedOn w:val="Fuentedeprrafopredeter"/>
    <w:rsid w:val="008845F3"/>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victoria.balboa@edenred.com" TargetMode="External"/><Relationship Id="rId10" Type="http://schemas.openxmlformats.org/officeDocument/2006/relationships/hyperlink" Target="mailto:aurelie.bagard@edenred.com"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enred.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inegi.org.mx/contenidos/saladeprensa/boletines/2023/inpc_2q/inpc_2q2023_0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EDENRED 2017">
      <a:dk1>
        <a:srgbClr val="323232"/>
      </a:dk1>
      <a:lt1>
        <a:sysClr val="window" lastClr="FFFFFF"/>
      </a:lt1>
      <a:dk2>
        <a:srgbClr val="162056"/>
      </a:dk2>
      <a:lt2>
        <a:srgbClr val="808080"/>
      </a:lt2>
      <a:accent1>
        <a:srgbClr val="D52B1E"/>
      </a:accent1>
      <a:accent2>
        <a:srgbClr val="F6EB61"/>
      </a:accent2>
      <a:accent3>
        <a:srgbClr val="00859B"/>
      </a:accent3>
      <a:accent4>
        <a:srgbClr val="0085CA"/>
      </a:accent4>
      <a:accent5>
        <a:srgbClr val="003591"/>
      </a:accent5>
      <a:accent6>
        <a:srgbClr val="42145F"/>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nqVJ4i6jt3m0YcWTWSYS9PEYfA==">AMUW2mVVGk6RRosnFlY+BMQqlHmwFs7HcrHx3jhVeslXbT0gZwBg7ueIb3cr5W/kxE1JidOi5YkL8XJdF/wGFBeC3Gza828euIITukgAQlklvf8W6xdZlGM=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2023-03-16T00:50:00Z</dcterms:created>
  <dc:creator>COURTOIS Cécile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0x010100C507B8DFC332A440B799D44257F07BA7</vt:lpwstr>
  </property>
</Properties>
</file>